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0044D" w14:textId="50215BE1" w:rsidR="00F170F5" w:rsidRPr="00F94E2D" w:rsidRDefault="00F170F5" w:rsidP="00F170F5">
      <w:pPr>
        <w:jc w:val="center"/>
        <w:rPr>
          <w:u w:val="single"/>
        </w:rPr>
      </w:pPr>
      <w:bookmarkStart w:id="0" w:name="_GoBack"/>
      <w:bookmarkEnd w:id="0"/>
      <w:r w:rsidRPr="00F94E2D">
        <w:rPr>
          <w:u w:val="single"/>
        </w:rPr>
        <w:t>GOSFORD &amp; WATER EATON PARISH COUNCIL</w:t>
      </w:r>
    </w:p>
    <w:p w14:paraId="2ACE9A36" w14:textId="3C16804F" w:rsidR="00F170F5" w:rsidRPr="00F94E2D" w:rsidRDefault="00F170F5" w:rsidP="00F170F5">
      <w:pPr>
        <w:jc w:val="center"/>
        <w:rPr>
          <w:u w:val="single"/>
        </w:rPr>
      </w:pPr>
      <w:r w:rsidRPr="00F94E2D">
        <w:rPr>
          <w:u w:val="single"/>
        </w:rPr>
        <w:t xml:space="preserve">FINANCIAL STATEMENT </w:t>
      </w:r>
    </w:p>
    <w:p w14:paraId="4645211A" w14:textId="04B8B0AC" w:rsidR="00F170F5" w:rsidRPr="00F94E2D" w:rsidRDefault="00F170F5" w:rsidP="00F170F5">
      <w:pPr>
        <w:jc w:val="center"/>
        <w:rPr>
          <w:u w:val="single"/>
        </w:rPr>
      </w:pPr>
      <w:r w:rsidRPr="00F94E2D">
        <w:rPr>
          <w:u w:val="single"/>
        </w:rPr>
        <w:t>FOR THE ANNUAL PARISH MEETING MAY 2022</w:t>
      </w:r>
    </w:p>
    <w:p w14:paraId="7D953827" w14:textId="77777777" w:rsidR="00F94E2D" w:rsidRDefault="00F94E2D" w:rsidP="00F170F5"/>
    <w:p w14:paraId="6FEF4F06" w14:textId="3810F509" w:rsidR="00F170F5" w:rsidRDefault="00F170F5" w:rsidP="00F170F5">
      <w:r>
        <w:t xml:space="preserve">The Members and Officers of the Parish Council have worked hard to keep all running costs down without any affect on service to the </w:t>
      </w:r>
      <w:r w:rsidR="00F94E2D">
        <w:t>parishioners</w:t>
      </w:r>
      <w:r>
        <w:t>.</w:t>
      </w:r>
    </w:p>
    <w:p w14:paraId="676F04B6" w14:textId="799AA0AF" w:rsidR="00F170F5" w:rsidRDefault="00F170F5" w:rsidP="00F170F5">
      <w:r>
        <w:t xml:space="preserve">Through prudence and conscious spend, the preadjusted </w:t>
      </w:r>
      <w:r w:rsidR="00F94E2D">
        <w:t>the year closed</w:t>
      </w:r>
      <w:r>
        <w:t xml:space="preserve"> with a £4,891 underspend in the revenue budget.  Once the agreed and approved adjustments to the reserves were accounted for, these being the Sinking Fund for Stratfield Brake, Playground </w:t>
      </w:r>
      <w:r w:rsidR="00F94E2D">
        <w:t>Enhancements</w:t>
      </w:r>
      <w:r>
        <w:t xml:space="preserve"> and Legal Fees, </w:t>
      </w:r>
      <w:r w:rsidR="00F94E2D">
        <w:t>the final closing balance was an overspend of £1,309.</w:t>
      </w:r>
    </w:p>
    <w:p w14:paraId="493EE170" w14:textId="251B0003" w:rsidR="00440FF4" w:rsidRDefault="00F94E2D" w:rsidP="00F170F5">
      <w:r>
        <w:t xml:space="preserve">Below is an outline of our expenditure lines </w:t>
      </w:r>
      <w:r w:rsidR="00A035D0">
        <w:t>for 2021-22 with a levied precept of £66,456.  Due to increase in statutory expenditures, the council had no choice but to increase the precept for 2022-23 by 2.9% to £68,441.</w:t>
      </w:r>
    </w:p>
    <w:p w14:paraId="3C458EF0" w14:textId="523E2370" w:rsidR="00F94E2D" w:rsidRDefault="00F94E2D" w:rsidP="00F170F5">
      <w:r>
        <w:rPr>
          <w:noProof/>
          <w:lang w:val="en-US"/>
        </w:rPr>
        <w:drawing>
          <wp:inline distT="0" distB="0" distL="0" distR="0" wp14:anchorId="34E2649E" wp14:editId="69FF8320">
            <wp:extent cx="5731510" cy="2720340"/>
            <wp:effectExtent l="0" t="0" r="254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628ECE8" w14:textId="6B865755" w:rsidR="00F94E2D" w:rsidRDefault="00A035D0" w:rsidP="00F170F5">
      <w:r>
        <w:t>The closing bank balances of the council were £89,564.56 as at 31</w:t>
      </w:r>
      <w:r w:rsidRPr="00A035D0">
        <w:rPr>
          <w:vertAlign w:val="superscript"/>
        </w:rPr>
        <w:t>st</w:t>
      </w:r>
      <w:r>
        <w:t xml:space="preserve"> March 2022.  The funds are represented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440FF4" w14:paraId="6FCB37DF" w14:textId="77777777" w:rsidTr="00710436">
        <w:trPr>
          <w:trHeight w:val="357"/>
        </w:trPr>
        <w:tc>
          <w:tcPr>
            <w:tcW w:w="6374" w:type="dxa"/>
            <w:shd w:val="clear" w:color="auto" w:fill="D9D9D9" w:themeFill="background1" w:themeFillShade="D9"/>
          </w:tcPr>
          <w:p w14:paraId="25CFB9B4" w14:textId="16FB3986" w:rsidR="00440FF4" w:rsidRPr="00440FF4" w:rsidRDefault="00B91706" w:rsidP="00440F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FUNDS REPRESNTED BY: </w:t>
            </w:r>
            <w:r w:rsidR="00440FF4" w:rsidRPr="00440FF4">
              <w:rPr>
                <w:b/>
                <w:bCs/>
              </w:rPr>
              <w:t>Barclay Bank Accounts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2D13E880" w14:textId="3D7CF9D1" w:rsidR="00440FF4" w:rsidRPr="00440FF4" w:rsidRDefault="00440FF4" w:rsidP="00440FF4">
            <w:pPr>
              <w:jc w:val="center"/>
              <w:rPr>
                <w:b/>
                <w:bCs/>
              </w:rPr>
            </w:pPr>
            <w:r w:rsidRPr="00440FF4">
              <w:rPr>
                <w:b/>
                <w:bCs/>
              </w:rPr>
              <w:t>£</w:t>
            </w:r>
          </w:p>
        </w:tc>
      </w:tr>
      <w:tr w:rsidR="00440FF4" w14:paraId="32CBEB08" w14:textId="77777777" w:rsidTr="00440FF4">
        <w:trPr>
          <w:trHeight w:val="264"/>
        </w:trPr>
        <w:tc>
          <w:tcPr>
            <w:tcW w:w="6374" w:type="dxa"/>
          </w:tcPr>
          <w:p w14:paraId="160C9A0B" w14:textId="5781E8AC" w:rsidR="00440FF4" w:rsidRDefault="00440FF4" w:rsidP="00440FF4">
            <w:r>
              <w:t>Community Account</w:t>
            </w:r>
          </w:p>
          <w:p w14:paraId="43750E6D" w14:textId="77777777" w:rsidR="00440FF4" w:rsidRDefault="00440FF4" w:rsidP="00440FF4">
            <w:r>
              <w:t>Business Premium Account</w:t>
            </w:r>
          </w:p>
          <w:p w14:paraId="622B6580" w14:textId="0D00C1AB" w:rsidR="00440FF4" w:rsidRDefault="00440FF4" w:rsidP="00440FF4">
            <w:r>
              <w:t>Business Reserve Account</w:t>
            </w:r>
          </w:p>
        </w:tc>
        <w:tc>
          <w:tcPr>
            <w:tcW w:w="2642" w:type="dxa"/>
          </w:tcPr>
          <w:p w14:paraId="30BE5993" w14:textId="77777777" w:rsidR="00440FF4" w:rsidRDefault="00440FF4" w:rsidP="00B91706">
            <w:pPr>
              <w:jc w:val="center"/>
            </w:pPr>
            <w:r>
              <w:t>80,961.60</w:t>
            </w:r>
          </w:p>
          <w:p w14:paraId="4A800C56" w14:textId="77777777" w:rsidR="00440FF4" w:rsidRDefault="00440FF4" w:rsidP="00B91706">
            <w:pPr>
              <w:jc w:val="center"/>
            </w:pPr>
            <w:r>
              <w:t>4,512.42</w:t>
            </w:r>
          </w:p>
          <w:p w14:paraId="35E1CEEB" w14:textId="4B165673" w:rsidR="00440FF4" w:rsidRDefault="00440FF4" w:rsidP="00B91706">
            <w:pPr>
              <w:jc w:val="center"/>
            </w:pPr>
            <w:r>
              <w:t>4,090.54</w:t>
            </w:r>
          </w:p>
        </w:tc>
      </w:tr>
      <w:tr w:rsidR="00440FF4" w14:paraId="6280E9FE" w14:textId="77777777" w:rsidTr="00710436">
        <w:tc>
          <w:tcPr>
            <w:tcW w:w="6374" w:type="dxa"/>
            <w:shd w:val="clear" w:color="auto" w:fill="D9D9D9" w:themeFill="background1" w:themeFillShade="D9"/>
          </w:tcPr>
          <w:p w14:paraId="54046DB1" w14:textId="76CEEFD7" w:rsidR="00440FF4" w:rsidRPr="00B91706" w:rsidRDefault="00B91706" w:rsidP="00440FF4">
            <w:pPr>
              <w:rPr>
                <w:b/>
                <w:bCs/>
              </w:rPr>
            </w:pPr>
            <w:r w:rsidRPr="00B91706">
              <w:rPr>
                <w:b/>
                <w:bCs/>
              </w:rPr>
              <w:t>TOTAL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48F10CB2" w14:textId="0D1B0E45" w:rsidR="00440FF4" w:rsidRPr="00B91706" w:rsidRDefault="00B91706" w:rsidP="00B91706">
            <w:pPr>
              <w:jc w:val="center"/>
              <w:rPr>
                <w:b/>
                <w:bCs/>
              </w:rPr>
            </w:pPr>
            <w:r w:rsidRPr="00B91706">
              <w:rPr>
                <w:b/>
                <w:bCs/>
              </w:rPr>
              <w:t>89,564.56</w:t>
            </w:r>
          </w:p>
        </w:tc>
      </w:tr>
      <w:tr w:rsidR="00440FF4" w14:paraId="79C8C465" w14:textId="77777777" w:rsidTr="00710436">
        <w:tc>
          <w:tcPr>
            <w:tcW w:w="6374" w:type="dxa"/>
            <w:shd w:val="clear" w:color="auto" w:fill="D9D9D9" w:themeFill="background1" w:themeFillShade="D9"/>
          </w:tcPr>
          <w:p w14:paraId="069DB39B" w14:textId="50914523" w:rsidR="00440FF4" w:rsidRPr="00B91706" w:rsidRDefault="00B91706" w:rsidP="00440FF4">
            <w:pPr>
              <w:rPr>
                <w:b/>
                <w:bCs/>
              </w:rPr>
            </w:pPr>
            <w:r w:rsidRPr="00B91706">
              <w:rPr>
                <w:b/>
                <w:bCs/>
              </w:rPr>
              <w:t>RESERVES REPRESENTED BY: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6AFFFE39" w14:textId="77777777" w:rsidR="00440FF4" w:rsidRDefault="00440FF4" w:rsidP="00B91706">
            <w:pPr>
              <w:jc w:val="center"/>
            </w:pPr>
          </w:p>
        </w:tc>
      </w:tr>
      <w:tr w:rsidR="00440FF4" w14:paraId="0F94E62A" w14:textId="77777777" w:rsidTr="00440FF4">
        <w:tc>
          <w:tcPr>
            <w:tcW w:w="6374" w:type="dxa"/>
          </w:tcPr>
          <w:p w14:paraId="262341EA" w14:textId="2C96CAF4" w:rsidR="00440FF4" w:rsidRDefault="00B91706" w:rsidP="00440FF4">
            <w:r>
              <w:t>General Reserve</w:t>
            </w:r>
          </w:p>
        </w:tc>
        <w:tc>
          <w:tcPr>
            <w:tcW w:w="2642" w:type="dxa"/>
          </w:tcPr>
          <w:p w14:paraId="31A48527" w14:textId="225357BF" w:rsidR="00440FF4" w:rsidRDefault="00B91706" w:rsidP="00B91706">
            <w:pPr>
              <w:jc w:val="center"/>
            </w:pPr>
            <w:r>
              <w:t>20,395.86</w:t>
            </w:r>
          </w:p>
        </w:tc>
      </w:tr>
      <w:tr w:rsidR="00440FF4" w14:paraId="2B513C93" w14:textId="77777777" w:rsidTr="00440FF4">
        <w:tc>
          <w:tcPr>
            <w:tcW w:w="6374" w:type="dxa"/>
          </w:tcPr>
          <w:p w14:paraId="5E4E8730" w14:textId="2402C4A5" w:rsidR="00440FF4" w:rsidRDefault="00B91706" w:rsidP="00440FF4">
            <w:r>
              <w:t>EMR Playground Maintenance</w:t>
            </w:r>
          </w:p>
        </w:tc>
        <w:tc>
          <w:tcPr>
            <w:tcW w:w="2642" w:type="dxa"/>
          </w:tcPr>
          <w:p w14:paraId="05A5238B" w14:textId="5E4B755F" w:rsidR="00440FF4" w:rsidRDefault="00B91706" w:rsidP="00B91706">
            <w:pPr>
              <w:jc w:val="center"/>
            </w:pPr>
            <w:r>
              <w:t>11,500.00</w:t>
            </w:r>
          </w:p>
        </w:tc>
      </w:tr>
      <w:tr w:rsidR="00440FF4" w14:paraId="51A6F7F9" w14:textId="77777777" w:rsidTr="00440FF4">
        <w:tc>
          <w:tcPr>
            <w:tcW w:w="6374" w:type="dxa"/>
          </w:tcPr>
          <w:p w14:paraId="668DAC44" w14:textId="563930E2" w:rsidR="00440FF4" w:rsidRDefault="00B91706" w:rsidP="00440FF4">
            <w:r>
              <w:t>EMR Stratfield Brake Sinking Fund</w:t>
            </w:r>
          </w:p>
        </w:tc>
        <w:tc>
          <w:tcPr>
            <w:tcW w:w="2642" w:type="dxa"/>
          </w:tcPr>
          <w:p w14:paraId="641696E0" w14:textId="5307BF4A" w:rsidR="00440FF4" w:rsidRDefault="00B91706" w:rsidP="00B91706">
            <w:pPr>
              <w:jc w:val="center"/>
            </w:pPr>
            <w:r>
              <w:t>8,275.00</w:t>
            </w:r>
          </w:p>
        </w:tc>
      </w:tr>
      <w:tr w:rsidR="00440FF4" w14:paraId="2AB1799F" w14:textId="77777777" w:rsidTr="00440FF4">
        <w:tc>
          <w:tcPr>
            <w:tcW w:w="6374" w:type="dxa"/>
          </w:tcPr>
          <w:p w14:paraId="0D83FB2E" w14:textId="0F6BCBCD" w:rsidR="00440FF4" w:rsidRDefault="00B91706" w:rsidP="00440FF4">
            <w:r>
              <w:t>EMR Litter &amp; Dog Bins</w:t>
            </w:r>
          </w:p>
        </w:tc>
        <w:tc>
          <w:tcPr>
            <w:tcW w:w="2642" w:type="dxa"/>
          </w:tcPr>
          <w:p w14:paraId="1B47C085" w14:textId="1617BC3E" w:rsidR="00440FF4" w:rsidRDefault="00B91706" w:rsidP="00B91706">
            <w:pPr>
              <w:jc w:val="center"/>
            </w:pPr>
            <w:r>
              <w:t>8,000.00</w:t>
            </w:r>
          </w:p>
        </w:tc>
      </w:tr>
      <w:tr w:rsidR="00B91706" w14:paraId="2F525D1A" w14:textId="77777777" w:rsidTr="00440FF4">
        <w:tc>
          <w:tcPr>
            <w:tcW w:w="6374" w:type="dxa"/>
          </w:tcPr>
          <w:p w14:paraId="037BDDEC" w14:textId="24FB900D" w:rsidR="00B91706" w:rsidRDefault="00B91706" w:rsidP="00440FF4">
            <w:r>
              <w:t>EMR Street Furniture</w:t>
            </w:r>
          </w:p>
        </w:tc>
        <w:tc>
          <w:tcPr>
            <w:tcW w:w="2642" w:type="dxa"/>
          </w:tcPr>
          <w:p w14:paraId="41FD5929" w14:textId="7B76E931" w:rsidR="00B91706" w:rsidRDefault="00B91706" w:rsidP="00B91706">
            <w:pPr>
              <w:jc w:val="center"/>
            </w:pPr>
            <w:r>
              <w:t>4,000.00</w:t>
            </w:r>
          </w:p>
        </w:tc>
      </w:tr>
      <w:tr w:rsidR="00B91706" w14:paraId="66A958BE" w14:textId="77777777" w:rsidTr="00440FF4">
        <w:tc>
          <w:tcPr>
            <w:tcW w:w="6374" w:type="dxa"/>
          </w:tcPr>
          <w:p w14:paraId="5DF36B21" w14:textId="3CA2547F" w:rsidR="00B91706" w:rsidRDefault="00B91706" w:rsidP="00440FF4">
            <w:r>
              <w:t>EMR Bramley Close 15yr maintenance</w:t>
            </w:r>
          </w:p>
        </w:tc>
        <w:tc>
          <w:tcPr>
            <w:tcW w:w="2642" w:type="dxa"/>
          </w:tcPr>
          <w:p w14:paraId="5E61BD55" w14:textId="20160C9E" w:rsidR="00B91706" w:rsidRDefault="00B91706" w:rsidP="00B91706">
            <w:pPr>
              <w:jc w:val="center"/>
            </w:pPr>
            <w:r>
              <w:t>32,393.70</w:t>
            </w:r>
          </w:p>
        </w:tc>
      </w:tr>
      <w:tr w:rsidR="00B91706" w14:paraId="735E9B6D" w14:textId="77777777" w:rsidTr="00440FF4">
        <w:tc>
          <w:tcPr>
            <w:tcW w:w="6374" w:type="dxa"/>
          </w:tcPr>
          <w:p w14:paraId="3C429A90" w14:textId="65691263" w:rsidR="00B91706" w:rsidRDefault="00710436" w:rsidP="00440FF4">
            <w:r>
              <w:t>EMR Planning &amp; Legal</w:t>
            </w:r>
          </w:p>
        </w:tc>
        <w:tc>
          <w:tcPr>
            <w:tcW w:w="2642" w:type="dxa"/>
          </w:tcPr>
          <w:p w14:paraId="623055F6" w14:textId="0D53D149" w:rsidR="00B91706" w:rsidRDefault="00710436" w:rsidP="00B91706">
            <w:pPr>
              <w:jc w:val="center"/>
            </w:pPr>
            <w:r>
              <w:t>5,000</w:t>
            </w:r>
          </w:p>
        </w:tc>
      </w:tr>
      <w:tr w:rsidR="00B91706" w:rsidRPr="00710436" w14:paraId="34A610FB" w14:textId="77777777" w:rsidTr="00710436">
        <w:tc>
          <w:tcPr>
            <w:tcW w:w="6374" w:type="dxa"/>
            <w:shd w:val="clear" w:color="auto" w:fill="D9D9D9" w:themeFill="background1" w:themeFillShade="D9"/>
          </w:tcPr>
          <w:p w14:paraId="7CAAE983" w14:textId="68411DA4" w:rsidR="00B91706" w:rsidRPr="00710436" w:rsidRDefault="00710436" w:rsidP="00440FF4">
            <w:pPr>
              <w:rPr>
                <w:b/>
                <w:bCs/>
              </w:rPr>
            </w:pPr>
            <w:r w:rsidRPr="00710436">
              <w:rPr>
                <w:b/>
                <w:bCs/>
              </w:rPr>
              <w:t>T</w:t>
            </w:r>
            <w:r>
              <w:rPr>
                <w:b/>
                <w:bCs/>
              </w:rPr>
              <w:t>O</w:t>
            </w:r>
            <w:r w:rsidRPr="00710436">
              <w:rPr>
                <w:b/>
                <w:bCs/>
              </w:rPr>
              <w:t>TAL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43CD4392" w14:textId="55BEBDEF" w:rsidR="00B91706" w:rsidRPr="00710436" w:rsidRDefault="00710436" w:rsidP="00B91706">
            <w:pPr>
              <w:jc w:val="center"/>
              <w:rPr>
                <w:b/>
                <w:bCs/>
              </w:rPr>
            </w:pPr>
            <w:r w:rsidRPr="00710436">
              <w:rPr>
                <w:b/>
                <w:bCs/>
              </w:rPr>
              <w:t>89,564.56</w:t>
            </w:r>
          </w:p>
        </w:tc>
      </w:tr>
    </w:tbl>
    <w:p w14:paraId="28C2CBD6" w14:textId="50BA7E58" w:rsidR="00440FF4" w:rsidRDefault="00440FF4" w:rsidP="00440FF4">
      <w:pPr>
        <w:spacing w:after="0"/>
      </w:pPr>
      <w:r>
        <w:tab/>
      </w:r>
      <w:r>
        <w:tab/>
      </w:r>
    </w:p>
    <w:sectPr w:rsidR="00440FF4" w:rsidSect="00F94E2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F5"/>
    <w:rsid w:val="00440FF4"/>
    <w:rsid w:val="00710436"/>
    <w:rsid w:val="007F6E38"/>
    <w:rsid w:val="00A035D0"/>
    <w:rsid w:val="00B91706"/>
    <w:rsid w:val="00F170F5"/>
    <w:rsid w:val="00F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3A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ie\Desktop\G&amp;WE\Pie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Expenditure Breakdown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967427947911005"/>
          <c:y val="0.210792942548848"/>
          <c:w val="0.729467861461137"/>
          <c:h val="0.61165500145815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Sheet1!$A$7:$A$9</c:f>
              <c:strCache>
                <c:ptCount val="3"/>
                <c:pt idx="0">
                  <c:v>Amenities Recharges</c:v>
                </c:pt>
                <c:pt idx="1">
                  <c:v>Open Spaces</c:v>
                </c:pt>
                <c:pt idx="2">
                  <c:v>Statutory Costs</c:v>
                </c:pt>
              </c:strCache>
            </c:strRef>
          </c:cat>
          <c:val>
            <c:numRef>
              <c:f>Sheet1!$B$7:$B$9</c:f>
              <c:numCache>
                <c:formatCode>#,##0</c:formatCode>
                <c:ptCount val="3"/>
                <c:pt idx="0">
                  <c:v>18445.0</c:v>
                </c:pt>
                <c:pt idx="1">
                  <c:v>13382.0</c:v>
                </c:pt>
                <c:pt idx="2">
                  <c:v>29739.0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5E-4B56-ADB4-A492A72E7C4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Carruthers</dc:creator>
  <cp:keywords/>
  <dc:description/>
  <cp:lastModifiedBy>KAZ EAST</cp:lastModifiedBy>
  <cp:revision>2</cp:revision>
  <dcterms:created xsi:type="dcterms:W3CDTF">2022-05-12T17:17:00Z</dcterms:created>
  <dcterms:modified xsi:type="dcterms:W3CDTF">2022-05-12T17:17:00Z</dcterms:modified>
</cp:coreProperties>
</file>